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173278" w:rsidRDefault="00173278" w:rsidP="00173278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EA304D" w:rsidRPr="00173278" w:rsidRDefault="00EA304D" w:rsidP="00173278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D25517" w:rsidRPr="00727CCC" w:rsidRDefault="00D25517" w:rsidP="006146A8">
      <w:pPr>
        <w:spacing w:after="0"/>
        <w:ind w:firstLine="709"/>
        <w:jc w:val="both"/>
        <w:rPr>
          <w:rFonts w:ascii="Segoe UI" w:hAnsi="Segoe UI" w:cs="Segoe UI"/>
        </w:rPr>
      </w:pPr>
    </w:p>
    <w:p w:rsidR="00C23202" w:rsidRDefault="00C23202" w:rsidP="00C23202">
      <w:pPr>
        <w:spacing w:after="0" w:line="240" w:lineRule="auto"/>
        <w:ind w:left="-567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Управление Росреестра по Тверской области подвело итоги работы за 2019 год</w:t>
      </w:r>
    </w:p>
    <w:p w:rsidR="00C23202" w:rsidRPr="000E1238" w:rsidRDefault="00C23202" w:rsidP="00C23202">
      <w:pPr>
        <w:spacing w:after="0" w:line="240" w:lineRule="auto"/>
        <w:ind w:left="-567"/>
        <w:jc w:val="center"/>
        <w:rPr>
          <w:rFonts w:ascii="Segoe UI" w:hAnsi="Segoe UI" w:cs="Segoe UI"/>
          <w:sz w:val="32"/>
          <w:szCs w:val="32"/>
        </w:rPr>
      </w:pPr>
    </w:p>
    <w:p w:rsidR="00C23202" w:rsidRPr="008E3785" w:rsidRDefault="00C23202" w:rsidP="00454F3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</w:rPr>
        <w:t>12</w:t>
      </w:r>
      <w:r w:rsidRPr="00410B1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марта</w:t>
      </w:r>
      <w:r w:rsidRPr="00410B13">
        <w:rPr>
          <w:rFonts w:ascii="Segoe UI" w:hAnsi="Segoe UI" w:cs="Segoe UI"/>
        </w:rPr>
        <w:t xml:space="preserve"> </w:t>
      </w:r>
      <w:r w:rsidRPr="00410B13">
        <w:rPr>
          <w:rFonts w:ascii="Segoe UI" w:hAnsi="Segoe UI" w:cs="Segoe UI"/>
          <w:color w:val="000000"/>
        </w:rPr>
        <w:t xml:space="preserve">состоялось расширенное заседание коллегии </w:t>
      </w:r>
      <w:r>
        <w:rPr>
          <w:rFonts w:ascii="Segoe UI" w:hAnsi="Segoe UI" w:cs="Segoe UI"/>
          <w:color w:val="000000"/>
        </w:rPr>
        <w:t xml:space="preserve">Управления </w:t>
      </w:r>
      <w:r w:rsidRPr="00410B13">
        <w:rPr>
          <w:rFonts w:ascii="Segoe UI" w:hAnsi="Segoe UI" w:cs="Segoe UI"/>
          <w:color w:val="000000"/>
        </w:rPr>
        <w:t>Росреестра по Тверской области.</w:t>
      </w:r>
      <w:r w:rsidRPr="00410B13">
        <w:rPr>
          <w:rFonts w:ascii="Segoe UI" w:hAnsi="Segoe UI" w:cs="Segoe UI"/>
          <w:bCs/>
        </w:rPr>
        <w:t xml:space="preserve"> </w:t>
      </w:r>
      <w:r w:rsidR="00454F32">
        <w:rPr>
          <w:rStyle w:val="af"/>
          <w:rFonts w:ascii="Segoe UI" w:hAnsi="Segoe UI" w:cs="Segoe UI"/>
          <w:i w:val="0"/>
          <w:shd w:val="clear" w:color="auto" w:fill="FFFFFF"/>
        </w:rPr>
        <w:t>Главными</w:t>
      </w:r>
      <w:r w:rsidRPr="00C23202">
        <w:rPr>
          <w:rStyle w:val="af"/>
          <w:rFonts w:ascii="Segoe UI" w:hAnsi="Segoe UI" w:cs="Segoe UI"/>
          <w:i w:val="0"/>
          <w:shd w:val="clear" w:color="auto" w:fill="FFFFFF"/>
        </w:rPr>
        <w:t xml:space="preserve"> вопросами, рассмотренными в ходе мероприятия, стали результаты работы регионального Управления Росреестра</w:t>
      </w:r>
      <w:r>
        <w:rPr>
          <w:rStyle w:val="af"/>
          <w:rFonts w:ascii="Segoe UI" w:hAnsi="Segoe UI" w:cs="Segoe UI"/>
          <w:i w:val="0"/>
          <w:shd w:val="clear" w:color="auto" w:fill="FFFFFF"/>
        </w:rPr>
        <w:t xml:space="preserve"> за 2019</w:t>
      </w:r>
      <w:r w:rsidRPr="00C23202">
        <w:rPr>
          <w:rStyle w:val="af"/>
          <w:rFonts w:ascii="Segoe UI" w:hAnsi="Segoe UI" w:cs="Segoe UI"/>
          <w:i w:val="0"/>
          <w:shd w:val="clear" w:color="auto" w:fill="FFFFFF"/>
        </w:rPr>
        <w:t xml:space="preserve"> год и постановка приоритетных задач на 20</w:t>
      </w:r>
      <w:r>
        <w:rPr>
          <w:rStyle w:val="af"/>
          <w:rFonts w:ascii="Segoe UI" w:hAnsi="Segoe UI" w:cs="Segoe UI"/>
          <w:i w:val="0"/>
          <w:shd w:val="clear" w:color="auto" w:fill="FFFFFF"/>
        </w:rPr>
        <w:t>20</w:t>
      </w:r>
      <w:r w:rsidRPr="00C23202">
        <w:rPr>
          <w:rStyle w:val="af"/>
          <w:rFonts w:ascii="Segoe UI" w:hAnsi="Segoe UI" w:cs="Segoe UI"/>
          <w:i w:val="0"/>
          <w:shd w:val="clear" w:color="auto" w:fill="FFFFFF"/>
        </w:rPr>
        <w:t xml:space="preserve"> год.</w:t>
      </w:r>
      <w:r w:rsidR="00454F32">
        <w:rPr>
          <w:rStyle w:val="af"/>
          <w:rFonts w:ascii="Segoe UI" w:hAnsi="Segoe UI" w:cs="Segoe UI"/>
          <w:i w:val="0"/>
          <w:shd w:val="clear" w:color="auto" w:fill="FFFFFF"/>
        </w:rPr>
        <w:t xml:space="preserve"> </w:t>
      </w:r>
      <w:r w:rsidRPr="008E3785">
        <w:rPr>
          <w:rFonts w:ascii="Segoe UI" w:hAnsi="Segoe UI" w:cs="Segoe UI"/>
          <w:shd w:val="clear" w:color="auto" w:fill="FFFFFF"/>
        </w:rPr>
        <w:t>С основным докладом</w:t>
      </w:r>
      <w:r w:rsidR="00454F32">
        <w:rPr>
          <w:rFonts w:ascii="Segoe UI" w:hAnsi="Segoe UI" w:cs="Segoe UI"/>
          <w:shd w:val="clear" w:color="auto" w:fill="FFFFFF"/>
        </w:rPr>
        <w:t xml:space="preserve"> </w:t>
      </w:r>
      <w:r w:rsidRPr="008E3785">
        <w:rPr>
          <w:rFonts w:ascii="Segoe UI" w:hAnsi="Segoe UI" w:cs="Segoe UI"/>
          <w:shd w:val="clear" w:color="auto" w:fill="FFFFFF"/>
        </w:rPr>
        <w:t xml:space="preserve">выступил руководитель Управления Росреестра по Тверской области Николай Фролов. </w:t>
      </w:r>
    </w:p>
    <w:p w:rsidR="00C23202" w:rsidRDefault="00C23202" w:rsidP="00C23202">
      <w:pPr>
        <w:spacing w:after="0" w:line="240" w:lineRule="auto"/>
        <w:contextualSpacing/>
        <w:jc w:val="both"/>
        <w:rPr>
          <w:rFonts w:ascii="Segoe UI" w:hAnsi="Segoe UI" w:cs="Segoe UI"/>
          <w:color w:val="252525"/>
          <w:shd w:val="clear" w:color="auto" w:fill="FFFFFF"/>
        </w:rPr>
      </w:pPr>
    </w:p>
    <w:p w:rsidR="00C23202" w:rsidRPr="008E3785" w:rsidRDefault="00C23202" w:rsidP="00C23202">
      <w:pPr>
        <w:spacing w:after="0" w:line="240" w:lineRule="auto"/>
        <w:jc w:val="both"/>
        <w:rPr>
          <w:rFonts w:ascii="Segoe UI" w:hAnsi="Segoe UI" w:cs="Segoe UI"/>
        </w:rPr>
      </w:pPr>
      <w:r w:rsidRPr="008E3785">
        <w:rPr>
          <w:rFonts w:ascii="Segoe UI" w:hAnsi="Segoe UI" w:cs="Segoe UI"/>
        </w:rPr>
        <w:t>В 201</w:t>
      </w:r>
      <w:r w:rsidR="00454F32">
        <w:rPr>
          <w:rFonts w:ascii="Segoe UI" w:hAnsi="Segoe UI" w:cs="Segoe UI"/>
        </w:rPr>
        <w:t>9</w:t>
      </w:r>
      <w:r w:rsidRPr="008E3785">
        <w:rPr>
          <w:rFonts w:ascii="Segoe UI" w:hAnsi="Segoe UI" w:cs="Segoe UI"/>
        </w:rPr>
        <w:t xml:space="preserve"> году </w:t>
      </w:r>
      <w:proofErr w:type="gramStart"/>
      <w:r w:rsidRPr="008E3785">
        <w:rPr>
          <w:rFonts w:ascii="Segoe UI" w:hAnsi="Segoe UI" w:cs="Segoe UI"/>
        </w:rPr>
        <w:t>в</w:t>
      </w:r>
      <w:proofErr w:type="gramEnd"/>
      <w:r w:rsidRPr="008E3785">
        <w:rPr>
          <w:rFonts w:ascii="Segoe UI" w:hAnsi="Segoe UI" w:cs="Segoe UI"/>
        </w:rPr>
        <w:t xml:space="preserve"> Управление</w:t>
      </w:r>
      <w:r w:rsidR="00DE5661">
        <w:rPr>
          <w:rFonts w:ascii="Segoe UI" w:hAnsi="Segoe UI" w:cs="Segoe UI"/>
        </w:rPr>
        <w:t>м рассмотрено</w:t>
      </w:r>
      <w:r w:rsidRPr="008E3785">
        <w:rPr>
          <w:rFonts w:ascii="Segoe UI" w:hAnsi="Segoe UI" w:cs="Segoe UI"/>
        </w:rPr>
        <w:t xml:space="preserve">  </w:t>
      </w:r>
      <w:r w:rsidR="00E54379">
        <w:rPr>
          <w:rFonts w:ascii="Segoe UI" w:hAnsi="Segoe UI" w:cs="Segoe UI"/>
        </w:rPr>
        <w:t>36</w:t>
      </w:r>
      <w:r>
        <w:rPr>
          <w:rFonts w:ascii="Segoe UI" w:hAnsi="Segoe UI" w:cs="Segoe UI"/>
        </w:rPr>
        <w:t>,</w:t>
      </w:r>
      <w:r w:rsidR="00E54379">
        <w:rPr>
          <w:rFonts w:ascii="Segoe UI" w:hAnsi="Segoe UI" w:cs="Segoe UI"/>
        </w:rPr>
        <w:t>7</w:t>
      </w:r>
      <w:r>
        <w:rPr>
          <w:rFonts w:ascii="Segoe UI" w:hAnsi="Segoe UI" w:cs="Segoe UI"/>
        </w:rPr>
        <w:t xml:space="preserve"> тыс. з</w:t>
      </w:r>
      <w:r w:rsidRPr="008E3785">
        <w:rPr>
          <w:rFonts w:ascii="Segoe UI" w:hAnsi="Segoe UI" w:cs="Segoe UI"/>
        </w:rPr>
        <w:t>аявлений на государственный кадастровый уч</w:t>
      </w:r>
      <w:r>
        <w:rPr>
          <w:rFonts w:ascii="Segoe UI" w:hAnsi="Segoe UI" w:cs="Segoe UI"/>
        </w:rPr>
        <w:t>ё</w:t>
      </w:r>
      <w:r w:rsidR="00F45E59">
        <w:rPr>
          <w:rFonts w:ascii="Segoe UI" w:hAnsi="Segoe UI" w:cs="Segoe UI"/>
        </w:rPr>
        <w:t>т</w:t>
      </w:r>
      <w:r>
        <w:rPr>
          <w:rFonts w:ascii="Segoe UI" w:hAnsi="Segoe UI" w:cs="Segoe UI"/>
        </w:rPr>
        <w:t>, 1</w:t>
      </w:r>
      <w:r w:rsidR="00E54379">
        <w:rPr>
          <w:rFonts w:ascii="Segoe UI" w:hAnsi="Segoe UI" w:cs="Segoe UI"/>
        </w:rPr>
        <w:t>72</w:t>
      </w:r>
      <w:r>
        <w:rPr>
          <w:rFonts w:ascii="Segoe UI" w:hAnsi="Segoe UI" w:cs="Segoe UI"/>
        </w:rPr>
        <w:t>,</w:t>
      </w:r>
      <w:r w:rsidR="00E54379">
        <w:rPr>
          <w:rFonts w:ascii="Segoe UI" w:hAnsi="Segoe UI" w:cs="Segoe UI"/>
        </w:rPr>
        <w:t>4</w:t>
      </w:r>
      <w:r>
        <w:rPr>
          <w:rFonts w:ascii="Segoe UI" w:hAnsi="Segoe UI" w:cs="Segoe UI"/>
        </w:rPr>
        <w:t xml:space="preserve"> тыс. заявлений</w:t>
      </w:r>
      <w:r w:rsidRPr="008E3785">
        <w:rPr>
          <w:rFonts w:ascii="Segoe UI" w:hAnsi="Segoe UI" w:cs="Segoe UI"/>
        </w:rPr>
        <w:t xml:space="preserve"> на г</w:t>
      </w:r>
      <w:r w:rsidR="00F45E59">
        <w:rPr>
          <w:rFonts w:ascii="Segoe UI" w:hAnsi="Segoe UI" w:cs="Segoe UI"/>
        </w:rPr>
        <w:t>осударственную регистрацию прав</w:t>
      </w:r>
      <w:r>
        <w:rPr>
          <w:rFonts w:ascii="Segoe UI" w:hAnsi="Segoe UI" w:cs="Segoe UI"/>
        </w:rPr>
        <w:t xml:space="preserve"> и </w:t>
      </w:r>
      <w:r w:rsidRPr="008E3785">
        <w:rPr>
          <w:rFonts w:ascii="Segoe UI" w:hAnsi="Segoe UI" w:cs="Segoe UI"/>
        </w:rPr>
        <w:t>1</w:t>
      </w:r>
      <w:r w:rsidR="00E54379">
        <w:rPr>
          <w:rFonts w:ascii="Segoe UI" w:hAnsi="Segoe UI" w:cs="Segoe UI"/>
        </w:rPr>
        <w:t>5</w:t>
      </w:r>
      <w:r w:rsidR="00BD66A2">
        <w:rPr>
          <w:rFonts w:ascii="Segoe UI" w:hAnsi="Segoe UI" w:cs="Segoe UI"/>
        </w:rPr>
        <w:t>,</w:t>
      </w:r>
      <w:r w:rsidR="00E54379">
        <w:rPr>
          <w:rFonts w:ascii="Segoe UI" w:hAnsi="Segoe UI" w:cs="Segoe UI"/>
        </w:rPr>
        <w:t>8</w:t>
      </w:r>
      <w:r>
        <w:rPr>
          <w:rFonts w:ascii="Segoe UI" w:hAnsi="Segoe UI" w:cs="Segoe UI"/>
        </w:rPr>
        <w:t xml:space="preserve"> тыс. заявлений</w:t>
      </w:r>
      <w:r w:rsidR="00F45E59">
        <w:rPr>
          <w:rFonts w:ascii="Segoe UI" w:hAnsi="Segoe UI" w:cs="Segoe UI"/>
        </w:rPr>
        <w:t xml:space="preserve"> на единую процедуру</w:t>
      </w:r>
      <w:r w:rsidRPr="008E3785">
        <w:rPr>
          <w:rFonts w:ascii="Segoe UI" w:hAnsi="Segoe UI" w:cs="Segoe UI"/>
        </w:rPr>
        <w:t xml:space="preserve">. </w:t>
      </w:r>
      <w:r w:rsidR="00E54379">
        <w:rPr>
          <w:rFonts w:ascii="Segoe UI" w:hAnsi="Segoe UI" w:cs="Segoe UI"/>
        </w:rPr>
        <w:t>Рост</w:t>
      </w:r>
      <w:r w:rsidRPr="008E3785">
        <w:rPr>
          <w:rFonts w:ascii="Segoe UI" w:hAnsi="Segoe UI" w:cs="Segoe UI"/>
        </w:rPr>
        <w:t xml:space="preserve"> </w:t>
      </w:r>
      <w:r w:rsidR="00CA4DC7">
        <w:rPr>
          <w:rFonts w:ascii="Segoe UI" w:hAnsi="Segoe UI" w:cs="Segoe UI"/>
        </w:rPr>
        <w:t xml:space="preserve">общего </w:t>
      </w:r>
      <w:r w:rsidR="00E54379">
        <w:rPr>
          <w:rFonts w:ascii="Segoe UI" w:hAnsi="Segoe UI" w:cs="Segoe UI"/>
        </w:rPr>
        <w:t>числа</w:t>
      </w:r>
      <w:r w:rsidRPr="008E3785">
        <w:rPr>
          <w:rFonts w:ascii="Segoe UI" w:hAnsi="Segoe UI" w:cs="Segoe UI"/>
        </w:rPr>
        <w:t xml:space="preserve"> поданных заявлений на предоставление услуг Росреестра </w:t>
      </w:r>
      <w:r w:rsidR="00E54379">
        <w:rPr>
          <w:rFonts w:ascii="Segoe UI" w:hAnsi="Segoe UI" w:cs="Segoe UI"/>
        </w:rPr>
        <w:t xml:space="preserve">в тверском регионе </w:t>
      </w:r>
      <w:r w:rsidRPr="008E3785">
        <w:rPr>
          <w:rFonts w:ascii="Segoe UI" w:hAnsi="Segoe UI" w:cs="Segoe UI"/>
        </w:rPr>
        <w:t>по срав</w:t>
      </w:r>
      <w:r>
        <w:rPr>
          <w:rFonts w:ascii="Segoe UI" w:hAnsi="Segoe UI" w:cs="Segoe UI"/>
        </w:rPr>
        <w:t>нению с 201</w:t>
      </w:r>
      <w:r w:rsidR="00E54379">
        <w:rPr>
          <w:rFonts w:ascii="Segoe UI" w:hAnsi="Segoe UI" w:cs="Segoe UI"/>
        </w:rPr>
        <w:t>8</w:t>
      </w:r>
      <w:r>
        <w:rPr>
          <w:rFonts w:ascii="Segoe UI" w:hAnsi="Segoe UI" w:cs="Segoe UI"/>
        </w:rPr>
        <w:t xml:space="preserve"> годом составил 15</w:t>
      </w:r>
      <w:r w:rsidR="00B27C3E">
        <w:rPr>
          <w:rFonts w:ascii="Segoe UI" w:hAnsi="Segoe UI" w:cs="Segoe UI"/>
        </w:rPr>
        <w:t xml:space="preserve"> </w:t>
      </w:r>
      <w:r w:rsidRPr="008E3785">
        <w:rPr>
          <w:rFonts w:ascii="Segoe UI" w:hAnsi="Segoe UI" w:cs="Segoe UI"/>
        </w:rPr>
        <w:t>%.</w:t>
      </w:r>
    </w:p>
    <w:p w:rsidR="00C23202" w:rsidRDefault="00C23202" w:rsidP="00C23202">
      <w:pPr>
        <w:spacing w:after="0" w:line="240" w:lineRule="auto"/>
        <w:jc w:val="both"/>
        <w:rPr>
          <w:rFonts w:ascii="Segoe UI" w:hAnsi="Segoe UI" w:cs="Segoe UI"/>
        </w:rPr>
      </w:pPr>
    </w:p>
    <w:p w:rsidR="00C23202" w:rsidRPr="008E3785" w:rsidRDefault="00E54379" w:rsidP="00C23202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2019</w:t>
      </w:r>
      <w:r w:rsidR="00C23202" w:rsidRPr="008E3785">
        <w:rPr>
          <w:rFonts w:ascii="Segoe UI" w:hAnsi="Segoe UI" w:cs="Segoe UI"/>
        </w:rPr>
        <w:t xml:space="preserve"> году Управлением зарегистрировано </w:t>
      </w:r>
      <w:r w:rsidR="00BD66A2">
        <w:rPr>
          <w:rFonts w:ascii="Segoe UI" w:hAnsi="Segoe UI" w:cs="Segoe UI"/>
        </w:rPr>
        <w:t>чуть более 22</w:t>
      </w:r>
      <w:r w:rsidR="00C23202">
        <w:rPr>
          <w:rFonts w:ascii="Segoe UI" w:hAnsi="Segoe UI" w:cs="Segoe UI"/>
        </w:rPr>
        <w:t xml:space="preserve"> тыс.</w:t>
      </w:r>
      <w:r w:rsidR="00C23202" w:rsidRPr="008E3785">
        <w:rPr>
          <w:rFonts w:ascii="Segoe UI" w:hAnsi="Segoe UI" w:cs="Segoe UI"/>
        </w:rPr>
        <w:t xml:space="preserve"> ипотек (жилых, нежилых объектов и земельных участков), </w:t>
      </w:r>
      <w:r w:rsidR="00BD66A2">
        <w:rPr>
          <w:rFonts w:ascii="Segoe UI" w:hAnsi="Segoe UI" w:cs="Segoe UI"/>
        </w:rPr>
        <w:t xml:space="preserve">что на </w:t>
      </w:r>
      <w:r w:rsidR="00BD66A2" w:rsidRPr="00BD66A2">
        <w:rPr>
          <w:rFonts w:ascii="Segoe UI" w:hAnsi="Segoe UI" w:cs="Segoe UI"/>
        </w:rPr>
        <w:t>17</w:t>
      </w:r>
      <w:r w:rsidR="00B27C3E">
        <w:rPr>
          <w:rFonts w:ascii="Segoe UI" w:hAnsi="Segoe UI" w:cs="Segoe UI"/>
        </w:rPr>
        <w:t xml:space="preserve"> </w:t>
      </w:r>
      <w:r w:rsidR="00BD66A2" w:rsidRPr="00BD66A2">
        <w:rPr>
          <w:rFonts w:ascii="Segoe UI" w:hAnsi="Segoe UI" w:cs="Segoe UI"/>
        </w:rPr>
        <w:t xml:space="preserve">% </w:t>
      </w:r>
      <w:r w:rsidR="00BD66A2">
        <w:rPr>
          <w:rFonts w:ascii="Segoe UI" w:hAnsi="Segoe UI" w:cs="Segoe UI"/>
        </w:rPr>
        <w:t xml:space="preserve">больше </w:t>
      </w:r>
      <w:r w:rsidR="00BD66A2" w:rsidRPr="00BD66A2">
        <w:rPr>
          <w:rFonts w:ascii="Segoe UI" w:hAnsi="Segoe UI" w:cs="Segoe UI"/>
        </w:rPr>
        <w:t>по сравнению с 2018 годом</w:t>
      </w:r>
      <w:r w:rsidR="00BD66A2">
        <w:rPr>
          <w:rFonts w:ascii="Segoe UI" w:hAnsi="Segoe UI" w:cs="Segoe UI"/>
        </w:rPr>
        <w:t xml:space="preserve"> (</w:t>
      </w:r>
      <w:r w:rsidR="00BD66A2" w:rsidRPr="00BD66A2">
        <w:rPr>
          <w:rFonts w:ascii="Segoe UI" w:hAnsi="Segoe UI" w:cs="Segoe UI"/>
        </w:rPr>
        <w:t>18</w:t>
      </w:r>
      <w:r w:rsidR="00BD66A2">
        <w:rPr>
          <w:rFonts w:ascii="Segoe UI" w:hAnsi="Segoe UI" w:cs="Segoe UI"/>
        </w:rPr>
        <w:t>,</w:t>
      </w:r>
      <w:r w:rsidR="00BD66A2" w:rsidRPr="00BD66A2">
        <w:rPr>
          <w:rFonts w:ascii="Segoe UI" w:hAnsi="Segoe UI" w:cs="Segoe UI"/>
        </w:rPr>
        <w:t>8</w:t>
      </w:r>
      <w:r w:rsidR="00BD66A2">
        <w:rPr>
          <w:rFonts w:ascii="Segoe UI" w:hAnsi="Segoe UI" w:cs="Segoe UI"/>
        </w:rPr>
        <w:t xml:space="preserve"> тыс.)</w:t>
      </w:r>
      <w:r w:rsidR="00BD66A2" w:rsidRPr="00BD66A2">
        <w:rPr>
          <w:rFonts w:ascii="Segoe UI" w:hAnsi="Segoe UI" w:cs="Segoe UI"/>
        </w:rPr>
        <w:t>.</w:t>
      </w:r>
      <w:r w:rsidR="008E46B7">
        <w:rPr>
          <w:rFonts w:ascii="Segoe UI" w:hAnsi="Segoe UI" w:cs="Segoe UI"/>
        </w:rPr>
        <w:t xml:space="preserve"> </w:t>
      </w:r>
      <w:proofErr w:type="gramStart"/>
      <w:r w:rsidR="008E46B7">
        <w:rPr>
          <w:rFonts w:ascii="Segoe UI" w:hAnsi="Segoe UI" w:cs="Segoe UI"/>
        </w:rPr>
        <w:t xml:space="preserve">В </w:t>
      </w:r>
      <w:r w:rsidR="00F45E59">
        <w:rPr>
          <w:rFonts w:ascii="Segoe UI" w:hAnsi="Segoe UI" w:cs="Segoe UI"/>
        </w:rPr>
        <w:t>т</w:t>
      </w:r>
      <w:r w:rsidR="008E46B7">
        <w:rPr>
          <w:rFonts w:ascii="Segoe UI" w:hAnsi="Segoe UI" w:cs="Segoe UI"/>
        </w:rPr>
        <w:t>о</w:t>
      </w:r>
      <w:r w:rsidR="00B27C3E" w:rsidRPr="00B27C3E">
        <w:rPr>
          <w:rFonts w:ascii="Segoe UI" w:hAnsi="Segoe UI" w:cs="Segoe UI"/>
        </w:rPr>
        <w:t xml:space="preserve"> </w:t>
      </w:r>
      <w:r w:rsidR="00B27C3E">
        <w:rPr>
          <w:rFonts w:ascii="Segoe UI" w:hAnsi="Segoe UI" w:cs="Segoe UI"/>
        </w:rPr>
        <w:t>же</w:t>
      </w:r>
      <w:r w:rsidR="008E46B7">
        <w:rPr>
          <w:rFonts w:ascii="Segoe UI" w:hAnsi="Segoe UI" w:cs="Segoe UI"/>
        </w:rPr>
        <w:t xml:space="preserve"> время</w:t>
      </w:r>
      <w:r w:rsidR="008E46B7" w:rsidRPr="008E46B7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="008E46B7" w:rsidRPr="008E46B7">
        <w:rPr>
          <w:rFonts w:ascii="Segoe UI" w:hAnsi="Segoe UI" w:cs="Segoe UI"/>
          <w:color w:val="000000"/>
          <w:shd w:val="clear" w:color="auto" w:fill="FFFFFF"/>
        </w:rPr>
        <w:t xml:space="preserve">общее количество внесённых в Единый государственный реестр недвижимости записей об ипотеке по </w:t>
      </w:r>
      <w:r w:rsidR="00702847">
        <w:rPr>
          <w:rFonts w:ascii="Segoe UI" w:hAnsi="Segoe UI" w:cs="Segoe UI"/>
          <w:color w:val="000000"/>
          <w:shd w:val="clear" w:color="auto" w:fill="FFFFFF"/>
        </w:rPr>
        <w:t>России</w:t>
      </w:r>
      <w:r w:rsidR="008E46B7" w:rsidRPr="008E46B7">
        <w:rPr>
          <w:rFonts w:ascii="Segoe UI" w:hAnsi="Segoe UI" w:cs="Segoe UI"/>
          <w:color w:val="000000"/>
          <w:shd w:val="clear" w:color="auto" w:fill="FFFFFF"/>
        </w:rPr>
        <w:t xml:space="preserve"> снизилось менее чем на 1</w:t>
      </w:r>
      <w:r w:rsidR="00B27C3E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8E46B7" w:rsidRPr="008E46B7">
        <w:rPr>
          <w:rFonts w:ascii="Segoe UI" w:hAnsi="Segoe UI" w:cs="Segoe UI"/>
          <w:color w:val="000000"/>
          <w:shd w:val="clear" w:color="auto" w:fill="FFFFFF"/>
        </w:rPr>
        <w:t>%</w:t>
      </w:r>
      <w:r w:rsidR="00F45E59">
        <w:rPr>
          <w:rFonts w:ascii="Segoe UI" w:hAnsi="Segoe UI" w:cs="Segoe UI"/>
          <w:color w:val="000000"/>
          <w:shd w:val="clear" w:color="auto" w:fill="FFFFFF"/>
        </w:rPr>
        <w:t xml:space="preserve"> и составило более 30 млн.</w:t>
      </w:r>
      <w:r w:rsidR="00BD66A2" w:rsidRPr="00054548">
        <w:rPr>
          <w:sz w:val="28"/>
          <w:szCs w:val="28"/>
        </w:rPr>
        <w:t xml:space="preserve"> </w:t>
      </w:r>
      <w:r w:rsidR="00C23202" w:rsidRPr="008E3785">
        <w:rPr>
          <w:rFonts w:ascii="Segoe UI" w:hAnsi="Segoe UI" w:cs="Segoe UI"/>
        </w:rPr>
        <w:t xml:space="preserve"> </w:t>
      </w:r>
      <w:r w:rsidR="00CA4DC7">
        <w:rPr>
          <w:rFonts w:ascii="Segoe UI" w:hAnsi="Segoe UI" w:cs="Segoe UI"/>
        </w:rPr>
        <w:t>Также в</w:t>
      </w:r>
      <w:r w:rsidR="00F45E59">
        <w:rPr>
          <w:rFonts w:ascii="Segoe UI" w:hAnsi="Segoe UI" w:cs="Segoe UI"/>
        </w:rPr>
        <w:t xml:space="preserve"> тверском регионе в </w:t>
      </w:r>
      <w:r w:rsidR="00CA4DC7">
        <w:rPr>
          <w:rFonts w:ascii="Segoe UI" w:hAnsi="Segoe UI" w:cs="Segoe UI"/>
        </w:rPr>
        <w:t xml:space="preserve">отчётном периоде отмечено увеличение на </w:t>
      </w:r>
      <w:r w:rsidR="00F45E59">
        <w:rPr>
          <w:rFonts w:ascii="Segoe UI" w:hAnsi="Segoe UI" w:cs="Segoe UI"/>
        </w:rPr>
        <w:t xml:space="preserve">    </w:t>
      </w:r>
      <w:r w:rsidR="00CA4DC7">
        <w:rPr>
          <w:rFonts w:ascii="Segoe UI" w:hAnsi="Segoe UI" w:cs="Segoe UI"/>
        </w:rPr>
        <w:t>26 % показателя по регистрации договоров долевого участия в строительстве (ДДУ): в 2019 году число зарегистрированных ДДУ составило более 4 тыс</w:t>
      </w:r>
      <w:r w:rsidR="00B27C3E">
        <w:rPr>
          <w:rFonts w:ascii="Segoe UI" w:hAnsi="Segoe UI" w:cs="Segoe UI"/>
        </w:rPr>
        <w:t>.</w:t>
      </w:r>
      <w:r w:rsidR="00CA4DC7">
        <w:rPr>
          <w:rFonts w:ascii="Segoe UI" w:hAnsi="Segoe UI" w:cs="Segoe UI"/>
        </w:rPr>
        <w:t>, в 2018-м – 3,2</w:t>
      </w:r>
      <w:proofErr w:type="gramEnd"/>
      <w:r w:rsidR="00CA4DC7">
        <w:rPr>
          <w:rFonts w:ascii="Segoe UI" w:hAnsi="Segoe UI" w:cs="Segoe UI"/>
        </w:rPr>
        <w:t xml:space="preserve">  тыс.</w:t>
      </w:r>
      <w:r w:rsidR="00F45E59">
        <w:rPr>
          <w:rFonts w:ascii="Segoe UI" w:hAnsi="Segoe UI" w:cs="Segoe UI"/>
        </w:rPr>
        <w:t xml:space="preserve"> В</w:t>
      </w:r>
      <w:r w:rsidR="00F45E5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="00F45E59" w:rsidRPr="00F45E59">
        <w:rPr>
          <w:rFonts w:ascii="Segoe UI" w:hAnsi="Segoe UI" w:cs="Segoe UI"/>
          <w:color w:val="000000"/>
          <w:shd w:val="clear" w:color="auto" w:fill="FFFFFF"/>
        </w:rPr>
        <w:t>целом по Российской Федерации зарегистрировано около 780 тыс. договоров участия в долевом строительстве, что ниже показателей 2018 года на 1,7</w:t>
      </w:r>
      <w:r w:rsidR="00B27C3E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F45E59" w:rsidRPr="00F45E59">
        <w:rPr>
          <w:rFonts w:ascii="Segoe UI" w:hAnsi="Segoe UI" w:cs="Segoe UI"/>
          <w:color w:val="000000"/>
          <w:shd w:val="clear" w:color="auto" w:fill="FFFFFF"/>
        </w:rPr>
        <w:t>% (796,6</w:t>
      </w:r>
      <w:r w:rsidR="00B27C3E">
        <w:rPr>
          <w:rFonts w:ascii="Segoe UI" w:hAnsi="Segoe UI" w:cs="Segoe UI"/>
          <w:color w:val="000000"/>
          <w:shd w:val="clear" w:color="auto" w:fill="FFFFFF"/>
        </w:rPr>
        <w:t xml:space="preserve"> тыс.</w:t>
      </w:r>
      <w:r w:rsidR="00F45E59" w:rsidRPr="00F45E59">
        <w:rPr>
          <w:rFonts w:ascii="Segoe UI" w:hAnsi="Segoe UI" w:cs="Segoe UI"/>
          <w:color w:val="000000"/>
          <w:shd w:val="clear" w:color="auto" w:fill="FFFFFF"/>
        </w:rPr>
        <w:t>).</w:t>
      </w:r>
    </w:p>
    <w:p w:rsidR="00C23202" w:rsidRDefault="00C23202" w:rsidP="00C23202">
      <w:pPr>
        <w:spacing w:after="0" w:line="240" w:lineRule="auto"/>
        <w:jc w:val="both"/>
        <w:rPr>
          <w:rFonts w:ascii="Segoe UI" w:hAnsi="Segoe UI" w:cs="Segoe UI"/>
        </w:rPr>
      </w:pPr>
    </w:p>
    <w:p w:rsidR="00C23202" w:rsidRPr="008E3785" w:rsidRDefault="00C23202" w:rsidP="00C23202">
      <w:pPr>
        <w:spacing w:after="0" w:line="240" w:lineRule="auto"/>
        <w:jc w:val="both"/>
        <w:rPr>
          <w:rFonts w:ascii="Segoe UI" w:hAnsi="Segoe UI" w:cs="Segoe UI"/>
        </w:rPr>
      </w:pPr>
      <w:r w:rsidRPr="008E3785">
        <w:rPr>
          <w:rFonts w:ascii="Segoe UI" w:hAnsi="Segoe UI" w:cs="Segoe UI"/>
        </w:rPr>
        <w:t xml:space="preserve">В связи с проводимой Управлением работой, направленной на увеличение </w:t>
      </w:r>
      <w:r w:rsidR="004938E8">
        <w:rPr>
          <w:rFonts w:ascii="Segoe UI" w:hAnsi="Segoe UI" w:cs="Segoe UI"/>
        </w:rPr>
        <w:t xml:space="preserve">числа </w:t>
      </w:r>
      <w:r w:rsidRPr="008E3785">
        <w:rPr>
          <w:rFonts w:ascii="Segoe UI" w:hAnsi="Segoe UI" w:cs="Segoe UI"/>
        </w:rPr>
        <w:t xml:space="preserve">государственных услуг, представляемых в электронном виде, </w:t>
      </w:r>
      <w:r w:rsidR="00CA4DC7">
        <w:rPr>
          <w:rFonts w:ascii="Segoe UI" w:hAnsi="Segoe UI" w:cs="Segoe UI"/>
        </w:rPr>
        <w:t xml:space="preserve">количество </w:t>
      </w:r>
      <w:r w:rsidR="004938E8">
        <w:rPr>
          <w:rFonts w:ascii="Segoe UI" w:hAnsi="Segoe UI" w:cs="Segoe UI"/>
        </w:rPr>
        <w:t>п</w:t>
      </w:r>
      <w:r w:rsidRPr="008E3785">
        <w:rPr>
          <w:rFonts w:ascii="Segoe UI" w:hAnsi="Segoe UI" w:cs="Segoe UI"/>
        </w:rPr>
        <w:t>риняты</w:t>
      </w:r>
      <w:r w:rsidR="00CA4DC7">
        <w:rPr>
          <w:rFonts w:ascii="Segoe UI" w:hAnsi="Segoe UI" w:cs="Segoe UI"/>
        </w:rPr>
        <w:t>х</w:t>
      </w:r>
      <w:r w:rsidRPr="008E3785">
        <w:rPr>
          <w:rFonts w:ascii="Segoe UI" w:hAnsi="Segoe UI" w:cs="Segoe UI"/>
        </w:rPr>
        <w:t xml:space="preserve"> заявлени</w:t>
      </w:r>
      <w:r w:rsidR="00CA4DC7">
        <w:rPr>
          <w:rFonts w:ascii="Segoe UI" w:hAnsi="Segoe UI" w:cs="Segoe UI"/>
        </w:rPr>
        <w:t>й</w:t>
      </w:r>
      <w:r w:rsidRPr="008E3785">
        <w:rPr>
          <w:rFonts w:ascii="Segoe UI" w:hAnsi="Segoe UI" w:cs="Segoe UI"/>
        </w:rPr>
        <w:t xml:space="preserve"> в электронном виде в 201</w:t>
      </w:r>
      <w:r w:rsidR="00CA4DC7">
        <w:rPr>
          <w:rFonts w:ascii="Segoe UI" w:hAnsi="Segoe UI" w:cs="Segoe UI"/>
        </w:rPr>
        <w:t>9</w:t>
      </w:r>
      <w:r w:rsidRPr="008E3785">
        <w:rPr>
          <w:rFonts w:ascii="Segoe UI" w:hAnsi="Segoe UI" w:cs="Segoe UI"/>
        </w:rPr>
        <w:t xml:space="preserve"> году </w:t>
      </w:r>
      <w:r w:rsidR="004938E8">
        <w:rPr>
          <w:rFonts w:ascii="Segoe UI" w:hAnsi="Segoe UI" w:cs="Segoe UI"/>
        </w:rPr>
        <w:t xml:space="preserve">по сравнению с 2018 годом </w:t>
      </w:r>
      <w:r w:rsidR="00CA4DC7">
        <w:rPr>
          <w:rFonts w:ascii="Segoe UI" w:hAnsi="Segoe UI" w:cs="Segoe UI"/>
        </w:rPr>
        <w:t>выросло в два раза</w:t>
      </w:r>
      <w:r>
        <w:rPr>
          <w:rFonts w:ascii="Segoe UI" w:hAnsi="Segoe UI" w:cs="Segoe UI"/>
        </w:rPr>
        <w:t xml:space="preserve"> </w:t>
      </w:r>
      <w:r w:rsidR="004938E8">
        <w:rPr>
          <w:rFonts w:ascii="Segoe UI" w:hAnsi="Segoe UI" w:cs="Segoe UI"/>
        </w:rPr>
        <w:t>и составило 58,7 тыс.</w:t>
      </w:r>
    </w:p>
    <w:p w:rsidR="00C23202" w:rsidRDefault="00C23202" w:rsidP="00C23202">
      <w:pPr>
        <w:spacing w:after="0" w:line="240" w:lineRule="auto"/>
        <w:jc w:val="both"/>
        <w:rPr>
          <w:rFonts w:ascii="Segoe UI" w:hAnsi="Segoe UI" w:cs="Segoe UI"/>
        </w:rPr>
      </w:pPr>
    </w:p>
    <w:p w:rsidR="00F45E59" w:rsidRDefault="00C23202" w:rsidP="00C23202">
      <w:pPr>
        <w:spacing w:after="0" w:line="240" w:lineRule="auto"/>
        <w:jc w:val="both"/>
        <w:rPr>
          <w:rStyle w:val="a8"/>
          <w:rFonts w:ascii="Segoe UI" w:hAnsi="Segoe UI" w:cs="Segoe UI"/>
        </w:rPr>
      </w:pPr>
      <w:r>
        <w:rPr>
          <w:rFonts w:ascii="Segoe UI" w:hAnsi="Segoe UI" w:cs="Segoe UI"/>
        </w:rPr>
        <w:t xml:space="preserve">Отдельное внимание на заседании  коллегии было уделено подведению итогов по </w:t>
      </w:r>
      <w:r w:rsidRPr="002D6E6F">
        <w:rPr>
          <w:rFonts w:ascii="Segoe UI" w:hAnsi="Segoe UI" w:cs="Segoe UI"/>
        </w:rPr>
        <w:t>достижени</w:t>
      </w:r>
      <w:r>
        <w:rPr>
          <w:rFonts w:ascii="Segoe UI" w:hAnsi="Segoe UI" w:cs="Segoe UI"/>
        </w:rPr>
        <w:t>ю</w:t>
      </w:r>
      <w:r w:rsidRPr="002D6E6F">
        <w:rPr>
          <w:rFonts w:ascii="Segoe UI" w:hAnsi="Segoe UI" w:cs="Segoe UI"/>
        </w:rPr>
        <w:t xml:space="preserve"> показателей </w:t>
      </w:r>
      <w:r>
        <w:rPr>
          <w:rFonts w:ascii="Segoe UI" w:hAnsi="Segoe UI" w:cs="Segoe UI"/>
        </w:rPr>
        <w:t>ц</w:t>
      </w:r>
      <w:r w:rsidRPr="002D6E6F">
        <w:rPr>
          <w:rFonts w:ascii="Segoe UI" w:hAnsi="Segoe UI" w:cs="Segoe UI"/>
        </w:rPr>
        <w:t>елевых моделей по регистрации прав и кадастровому учёту. И здесь речь ид</w:t>
      </w:r>
      <w:r>
        <w:rPr>
          <w:rFonts w:ascii="Segoe UI" w:hAnsi="Segoe UI" w:cs="Segoe UI"/>
        </w:rPr>
        <w:t>ё</w:t>
      </w:r>
      <w:r w:rsidRPr="002D6E6F">
        <w:rPr>
          <w:rFonts w:ascii="Segoe UI" w:hAnsi="Segoe UI" w:cs="Segoe UI"/>
        </w:rPr>
        <w:t xml:space="preserve">т в первую очередь о снижении доли приостановок и отказов в регистрации прав. </w:t>
      </w:r>
      <w:r w:rsidR="005A2EE0">
        <w:rPr>
          <w:rFonts w:ascii="Segoe UI" w:hAnsi="Segoe UI" w:cs="Segoe UI"/>
        </w:rPr>
        <w:t>Как отметил руководитель Управления Росреестра по Тверской области Николай Фролов</w:t>
      </w:r>
      <w:r w:rsidRPr="00CE094C">
        <w:rPr>
          <w:rFonts w:ascii="Segoe UI" w:hAnsi="Segoe UI" w:cs="Segoe UI"/>
        </w:rPr>
        <w:t>, за 201</w:t>
      </w:r>
      <w:r w:rsidR="004938E8">
        <w:rPr>
          <w:rFonts w:ascii="Segoe UI" w:hAnsi="Segoe UI" w:cs="Segoe UI"/>
        </w:rPr>
        <w:t>9</w:t>
      </w:r>
      <w:r w:rsidRPr="00CE094C">
        <w:rPr>
          <w:rFonts w:ascii="Segoe UI" w:hAnsi="Segoe UI" w:cs="Segoe UI"/>
        </w:rPr>
        <w:t xml:space="preserve"> год в Управлении вынесено </w:t>
      </w:r>
      <w:r>
        <w:rPr>
          <w:rFonts w:ascii="Segoe UI" w:hAnsi="Segoe UI" w:cs="Segoe UI"/>
        </w:rPr>
        <w:t>всего</w:t>
      </w:r>
      <w:r w:rsidRPr="00CE094C">
        <w:rPr>
          <w:rFonts w:ascii="Segoe UI" w:hAnsi="Segoe UI" w:cs="Segoe UI"/>
        </w:rPr>
        <w:t xml:space="preserve"> 1</w:t>
      </w:r>
      <w:r w:rsidR="004938E8">
        <w:rPr>
          <w:rFonts w:ascii="Segoe UI" w:hAnsi="Segoe UI" w:cs="Segoe UI"/>
        </w:rPr>
        <w:t>5</w:t>
      </w:r>
      <w:r>
        <w:rPr>
          <w:rFonts w:ascii="Segoe UI" w:hAnsi="Segoe UI" w:cs="Segoe UI"/>
        </w:rPr>
        <w:t>,</w:t>
      </w:r>
      <w:r w:rsidRPr="00CE094C">
        <w:rPr>
          <w:rFonts w:ascii="Segoe UI" w:hAnsi="Segoe UI" w:cs="Segoe UI"/>
        </w:rPr>
        <w:t>3</w:t>
      </w:r>
      <w:r>
        <w:rPr>
          <w:rFonts w:ascii="Segoe UI" w:hAnsi="Segoe UI" w:cs="Segoe UI"/>
        </w:rPr>
        <w:t xml:space="preserve"> тыс.</w:t>
      </w:r>
      <w:r w:rsidRPr="00CE094C">
        <w:rPr>
          <w:rFonts w:ascii="Segoe UI" w:hAnsi="Segoe UI" w:cs="Segoe UI"/>
        </w:rPr>
        <w:t xml:space="preserve"> решений о приостановлении, что на </w:t>
      </w:r>
      <w:r w:rsidR="004938E8">
        <w:rPr>
          <w:rFonts w:ascii="Segoe UI" w:hAnsi="Segoe UI" w:cs="Segoe UI"/>
        </w:rPr>
        <w:t xml:space="preserve">12 % меньше, чем в 2018 году. Количество принятых в 2019 году </w:t>
      </w:r>
      <w:r w:rsidR="004938E8">
        <w:rPr>
          <w:rFonts w:ascii="Segoe UI" w:hAnsi="Segoe UI" w:cs="Segoe UI"/>
        </w:rPr>
        <w:lastRenderedPageBreak/>
        <w:t xml:space="preserve">решений об отказе </w:t>
      </w:r>
      <w:r w:rsidR="004938E8" w:rsidRPr="00CE094C">
        <w:rPr>
          <w:rFonts w:ascii="Segoe UI" w:hAnsi="Segoe UI" w:cs="Segoe UI"/>
        </w:rPr>
        <w:t>в</w:t>
      </w:r>
      <w:r w:rsidR="004938E8">
        <w:rPr>
          <w:rFonts w:ascii="Segoe UI" w:hAnsi="Segoe UI" w:cs="Segoe UI"/>
        </w:rPr>
        <w:t xml:space="preserve"> государственном кадастровом учё</w:t>
      </w:r>
      <w:r w:rsidR="004938E8" w:rsidRPr="00CE094C">
        <w:rPr>
          <w:rFonts w:ascii="Segoe UI" w:hAnsi="Segoe UI" w:cs="Segoe UI"/>
        </w:rPr>
        <w:t>те и государственной регистрации прав</w:t>
      </w:r>
      <w:r w:rsidR="004938E8">
        <w:rPr>
          <w:rFonts w:ascii="Segoe UI" w:hAnsi="Segoe UI" w:cs="Segoe UI"/>
        </w:rPr>
        <w:t xml:space="preserve"> осталось приблизительно на уровне 2018 года и составило 6,3 тыс.</w:t>
      </w:r>
      <w:r w:rsidR="00F45E59">
        <w:rPr>
          <w:rFonts w:ascii="Segoe UI" w:hAnsi="Segoe UI" w:cs="Segoe UI"/>
        </w:rPr>
        <w:t xml:space="preserve"> </w:t>
      </w:r>
      <w:r w:rsidR="003268C0">
        <w:rPr>
          <w:rFonts w:ascii="Segoe UI" w:hAnsi="Segoe UI" w:cs="Segoe UI"/>
        </w:rPr>
        <w:t>«</w:t>
      </w:r>
      <w:r w:rsidR="00F45E59">
        <w:rPr>
          <w:rFonts w:ascii="Segoe UI" w:hAnsi="Segoe UI" w:cs="Segoe UI"/>
        </w:rPr>
        <w:t xml:space="preserve">И это при общем увеличении </w:t>
      </w:r>
      <w:r w:rsidR="005A2EE0">
        <w:rPr>
          <w:rFonts w:ascii="Segoe UI" w:hAnsi="Segoe UI" w:cs="Segoe UI"/>
        </w:rPr>
        <w:t xml:space="preserve">на 15 % общего числа </w:t>
      </w:r>
      <w:r w:rsidR="00DE5661">
        <w:rPr>
          <w:rFonts w:ascii="Segoe UI" w:hAnsi="Segoe UI" w:cs="Segoe UI"/>
        </w:rPr>
        <w:t xml:space="preserve">рассмотренных </w:t>
      </w:r>
      <w:r w:rsidR="005A2EE0">
        <w:rPr>
          <w:rFonts w:ascii="Segoe UI" w:hAnsi="Segoe UI" w:cs="Segoe UI"/>
        </w:rPr>
        <w:t>заявлений. Именно поэтому</w:t>
      </w:r>
      <w:r w:rsidR="00F45E59">
        <w:rPr>
          <w:rFonts w:ascii="Segoe UI" w:hAnsi="Segoe UI" w:cs="Segoe UI"/>
        </w:rPr>
        <w:t xml:space="preserve">, по данным Росреестра, Тверская область вошла в число регионов с лучшей динамикой </w:t>
      </w:r>
      <w:r w:rsidR="00F45E59" w:rsidRPr="00F45E59">
        <w:rPr>
          <w:rFonts w:ascii="Segoe UI" w:hAnsi="Segoe UI" w:cs="Segoe UI"/>
          <w:color w:val="000000"/>
          <w:shd w:val="clear" w:color="auto" w:fill="FFFFFF"/>
        </w:rPr>
        <w:t>снижения доли решений об отказе</w:t>
      </w:r>
      <w:r w:rsidR="005A2EE0">
        <w:rPr>
          <w:rFonts w:ascii="Segoe UI" w:hAnsi="Segoe UI" w:cs="Segoe UI"/>
          <w:color w:val="000000"/>
          <w:shd w:val="clear" w:color="auto" w:fill="FFFFFF"/>
        </w:rPr>
        <w:t xml:space="preserve"> наряду ещё с 12 субъектами РФ</w:t>
      </w:r>
      <w:r w:rsidR="003268C0">
        <w:rPr>
          <w:rFonts w:ascii="Segoe UI" w:hAnsi="Segoe UI" w:cs="Segoe UI"/>
          <w:color w:val="000000"/>
          <w:shd w:val="clear" w:color="auto" w:fill="FFFFFF"/>
        </w:rPr>
        <w:t>»</w:t>
      </w:r>
      <w:r w:rsidR="005A2EE0">
        <w:rPr>
          <w:rFonts w:ascii="Segoe UI" w:hAnsi="Segoe UI" w:cs="Segoe UI"/>
          <w:color w:val="000000"/>
          <w:shd w:val="clear" w:color="auto" w:fill="FFFFFF"/>
        </w:rPr>
        <w:t xml:space="preserve">, - подчеркнул Николай Фролов.  </w:t>
      </w:r>
      <w:r w:rsidR="005A2EE0">
        <w:rPr>
          <w:rStyle w:val="a8"/>
          <w:rFonts w:ascii="Segoe UI" w:hAnsi="Segoe UI" w:cs="Segoe UI"/>
        </w:rPr>
        <w:t xml:space="preserve"> </w:t>
      </w:r>
    </w:p>
    <w:p w:rsidR="005A2EE0" w:rsidRDefault="005A2EE0" w:rsidP="00C23202">
      <w:pPr>
        <w:spacing w:after="0" w:line="240" w:lineRule="auto"/>
        <w:jc w:val="both"/>
        <w:rPr>
          <w:rStyle w:val="a8"/>
          <w:rFonts w:ascii="Segoe UI" w:hAnsi="Segoe UI" w:cs="Segoe UI"/>
        </w:rPr>
      </w:pPr>
    </w:p>
    <w:p w:rsidR="00C23202" w:rsidRPr="005A2EE0" w:rsidRDefault="00C23202" w:rsidP="00C23202">
      <w:pPr>
        <w:spacing w:after="0" w:line="240" w:lineRule="auto"/>
        <w:jc w:val="both"/>
        <w:rPr>
          <w:rStyle w:val="a8"/>
          <w:rFonts w:ascii="Segoe UI" w:hAnsi="Segoe UI" w:cs="Segoe UI"/>
          <w:b w:val="0"/>
        </w:rPr>
      </w:pPr>
      <w:r w:rsidRPr="005A2EE0">
        <w:rPr>
          <w:rStyle w:val="a8"/>
          <w:rFonts w:ascii="Segoe UI" w:hAnsi="Segoe UI" w:cs="Segoe UI"/>
          <w:b w:val="0"/>
        </w:rPr>
        <w:t>Завершилось мероприятие награждением лучших сотрудников Управления Росреестра по Тверской области, регионального филиала Федеральной кадастровой палаты, а также представителей средств массовой информации – победителей конкурса для работников СМИ на лучшее освещение деятельности Управления Росреестра по Тверской области за 201</w:t>
      </w:r>
      <w:r w:rsidR="005C204F" w:rsidRPr="005C204F">
        <w:rPr>
          <w:rStyle w:val="a8"/>
          <w:rFonts w:ascii="Segoe UI" w:hAnsi="Segoe UI" w:cs="Segoe UI"/>
          <w:b w:val="0"/>
        </w:rPr>
        <w:t>9</w:t>
      </w:r>
      <w:r w:rsidRPr="005A2EE0">
        <w:rPr>
          <w:rStyle w:val="a8"/>
          <w:rFonts w:ascii="Segoe UI" w:hAnsi="Segoe UI" w:cs="Segoe UI"/>
          <w:b w:val="0"/>
        </w:rPr>
        <w:t xml:space="preserve"> год.</w:t>
      </w:r>
    </w:p>
    <w:p w:rsidR="005A2EE0" w:rsidRDefault="005A2EE0" w:rsidP="00C23202">
      <w:pPr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454F32" w:rsidRPr="003A6A45" w:rsidRDefault="00454F32" w:rsidP="00C23202">
      <w:pPr>
        <w:spacing w:after="0" w:line="240" w:lineRule="auto"/>
        <w:jc w:val="both"/>
        <w:rPr>
          <w:rFonts w:ascii="Segoe UI" w:eastAsia="Arial Unicode MS" w:hAnsi="Segoe UI" w:cs="Segoe UI"/>
          <w:b/>
          <w:noProof/>
          <w:spacing w:val="-10"/>
          <w:kern w:val="1"/>
          <w:sz w:val="20"/>
          <w:szCs w:val="20"/>
          <w:lang w:eastAsia="sk-SK" w:bidi="hi-IN"/>
        </w:rPr>
      </w:pPr>
      <w:r w:rsidRPr="00410B13">
        <w:rPr>
          <w:rFonts w:ascii="Segoe UI" w:hAnsi="Segoe UI" w:cs="Segoe UI"/>
          <w:color w:val="000000"/>
        </w:rPr>
        <w:t xml:space="preserve">В </w:t>
      </w:r>
      <w:r>
        <w:rPr>
          <w:rFonts w:ascii="Segoe UI" w:hAnsi="Segoe UI" w:cs="Segoe UI"/>
          <w:color w:val="000000"/>
        </w:rPr>
        <w:t>работе коллегии</w:t>
      </w:r>
      <w:r w:rsidRPr="00410B13">
        <w:rPr>
          <w:rFonts w:ascii="Segoe UI" w:hAnsi="Segoe UI" w:cs="Segoe UI"/>
          <w:color w:val="000000"/>
        </w:rPr>
        <w:t xml:space="preserve"> приняли участие </w:t>
      </w:r>
      <w:r w:rsidRPr="00410B13">
        <w:rPr>
          <w:rFonts w:ascii="Segoe UI" w:hAnsi="Segoe UI" w:cs="Segoe UI"/>
        </w:rPr>
        <w:t xml:space="preserve">федеральный инспектор </w:t>
      </w:r>
      <w:r>
        <w:rPr>
          <w:rFonts w:ascii="Segoe UI" w:hAnsi="Segoe UI" w:cs="Segoe UI"/>
        </w:rPr>
        <w:t>по</w:t>
      </w:r>
      <w:r w:rsidRPr="00410B13">
        <w:rPr>
          <w:rFonts w:ascii="Segoe UI" w:hAnsi="Segoe UI" w:cs="Segoe UI"/>
        </w:rPr>
        <w:t xml:space="preserve"> Тверской области</w:t>
      </w:r>
      <w:r>
        <w:rPr>
          <w:rFonts w:ascii="Segoe UI" w:hAnsi="Segoe UI" w:cs="Segoe UI"/>
        </w:rPr>
        <w:t xml:space="preserve"> Сергей </w:t>
      </w:r>
      <w:proofErr w:type="spellStart"/>
      <w:r>
        <w:rPr>
          <w:rFonts w:ascii="Segoe UI" w:hAnsi="Segoe UI" w:cs="Segoe UI"/>
        </w:rPr>
        <w:t>Свитин</w:t>
      </w:r>
      <w:proofErr w:type="spellEnd"/>
      <w:r>
        <w:rPr>
          <w:rFonts w:ascii="Segoe UI" w:hAnsi="Segoe UI" w:cs="Segoe UI"/>
        </w:rPr>
        <w:t xml:space="preserve">, заместитель прокурора Тверской области Сергей Краюхин, </w:t>
      </w:r>
      <w:r w:rsidRPr="002F75AB">
        <w:rPr>
          <w:rFonts w:ascii="Segoe UI" w:hAnsi="Segoe UI" w:cs="Segoe UI"/>
        </w:rPr>
        <w:t>заместитель руководителя Управления Федеральной службы судебных приставов по Тверской области</w:t>
      </w:r>
      <w:r>
        <w:rPr>
          <w:rFonts w:ascii="Segoe UI" w:hAnsi="Segoe UI" w:cs="Segoe UI"/>
        </w:rPr>
        <w:t xml:space="preserve"> Ирина Марченко, </w:t>
      </w:r>
      <w:r w:rsidRPr="00454F32">
        <w:rPr>
          <w:rFonts w:ascii="Segoe UI" w:hAnsi="Segoe UI" w:cs="Segoe UI"/>
        </w:rPr>
        <w:t>руководитель Управления Федерального казначейства по Тверской области</w:t>
      </w:r>
      <w:r>
        <w:rPr>
          <w:rFonts w:ascii="Segoe UI" w:hAnsi="Segoe UI" w:cs="Segoe UI"/>
        </w:rPr>
        <w:t xml:space="preserve"> Алексей Солодов, </w:t>
      </w:r>
      <w:r w:rsidRPr="00142B7A">
        <w:rPr>
          <w:rFonts w:ascii="Segoe UI" w:hAnsi="Segoe UI" w:cs="Segoe UI"/>
        </w:rPr>
        <w:t>з</w:t>
      </w:r>
      <w:r w:rsidRPr="00142B7A">
        <w:rPr>
          <w:rFonts w:ascii="Segoe UI" w:hAnsi="Segoe UI" w:cs="Segoe UI"/>
          <w:bCs/>
        </w:rPr>
        <w:t>аместитель Главы администрации г</w:t>
      </w:r>
      <w:proofErr w:type="gramStart"/>
      <w:r w:rsidRPr="00142B7A">
        <w:rPr>
          <w:rFonts w:ascii="Segoe UI" w:hAnsi="Segoe UI" w:cs="Segoe UI"/>
        </w:rPr>
        <w:t>.Т</w:t>
      </w:r>
      <w:proofErr w:type="gramEnd"/>
      <w:r w:rsidRPr="00142B7A">
        <w:rPr>
          <w:rFonts w:ascii="Segoe UI" w:hAnsi="Segoe UI" w:cs="Segoe UI"/>
        </w:rPr>
        <w:t>вери Андрей Гаврилин</w:t>
      </w:r>
      <w:r>
        <w:rPr>
          <w:rFonts w:ascii="Segoe UI" w:hAnsi="Segoe UI" w:cs="Segoe UI"/>
        </w:rPr>
        <w:t xml:space="preserve">, </w:t>
      </w:r>
      <w:r w:rsidR="00B27C3E">
        <w:rPr>
          <w:rFonts w:ascii="Segoe UI" w:hAnsi="Segoe UI" w:cs="Segoe UI"/>
        </w:rPr>
        <w:t xml:space="preserve">      </w:t>
      </w:r>
      <w:r w:rsidR="003268C0">
        <w:rPr>
          <w:rFonts w:ascii="Segoe UI" w:hAnsi="Segoe UI" w:cs="Segoe UI"/>
        </w:rPr>
        <w:t>исполняющий обязанности директора филиала ФГБУ «ФКП Росреестра» по Тверской области Александр Щерба, исполняющий обязанности</w:t>
      </w:r>
      <w:r w:rsidRPr="00454F32">
        <w:rPr>
          <w:rFonts w:ascii="Segoe UI" w:hAnsi="Segoe UI" w:cs="Segoe UI"/>
        </w:rPr>
        <w:t xml:space="preserve"> директора ГБУ Тверской области «Центр кадастровой оценки и технической инвентаризации»</w:t>
      </w:r>
      <w:r>
        <w:rPr>
          <w:rFonts w:ascii="Segoe UI" w:hAnsi="Segoe UI" w:cs="Segoe UI"/>
        </w:rPr>
        <w:t xml:space="preserve"> Сергей Пьянов, </w:t>
      </w:r>
      <w:r w:rsidRPr="00454F32">
        <w:rPr>
          <w:rFonts w:ascii="Segoe UI" w:hAnsi="Segoe UI" w:cs="Segoe UI"/>
        </w:rPr>
        <w:t xml:space="preserve">директор </w:t>
      </w:r>
      <w:proofErr w:type="spellStart"/>
      <w:r w:rsidRPr="00454F32">
        <w:rPr>
          <w:rFonts w:ascii="Segoe UI" w:hAnsi="Segoe UI" w:cs="Segoe UI"/>
        </w:rPr>
        <w:t>макрорегиона</w:t>
      </w:r>
      <w:proofErr w:type="spellEnd"/>
      <w:r w:rsidRPr="00454F32">
        <w:rPr>
          <w:rFonts w:ascii="Segoe UI" w:hAnsi="Segoe UI" w:cs="Segoe UI"/>
        </w:rPr>
        <w:t xml:space="preserve"> Управления Федеральной почтовой связи Тверской области</w:t>
      </w:r>
      <w:r>
        <w:rPr>
          <w:rFonts w:ascii="Segoe UI" w:hAnsi="Segoe UI" w:cs="Segoe UI"/>
        </w:rPr>
        <w:t xml:space="preserve"> Николай Гусар.          </w:t>
      </w:r>
    </w:p>
    <w:p w:rsidR="00396874" w:rsidRPr="0003071B" w:rsidRDefault="002A467B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2A467B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73EB8"/>
    <w:rsid w:val="00081DBD"/>
    <w:rsid w:val="0009799A"/>
    <w:rsid w:val="000A1CC4"/>
    <w:rsid w:val="000C0C88"/>
    <w:rsid w:val="000C4B3A"/>
    <w:rsid w:val="000C621E"/>
    <w:rsid w:val="000C6E6C"/>
    <w:rsid w:val="000D1E08"/>
    <w:rsid w:val="000D264D"/>
    <w:rsid w:val="000D5A05"/>
    <w:rsid w:val="000D7D49"/>
    <w:rsid w:val="000E0491"/>
    <w:rsid w:val="000E1238"/>
    <w:rsid w:val="000E2ECC"/>
    <w:rsid w:val="000E2EEB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5EDE"/>
    <w:rsid w:val="001167CB"/>
    <w:rsid w:val="00122DB3"/>
    <w:rsid w:val="00122E1B"/>
    <w:rsid w:val="00126221"/>
    <w:rsid w:val="00132587"/>
    <w:rsid w:val="0013263F"/>
    <w:rsid w:val="00132E27"/>
    <w:rsid w:val="001340D2"/>
    <w:rsid w:val="00137E7C"/>
    <w:rsid w:val="00145B5E"/>
    <w:rsid w:val="00146FD8"/>
    <w:rsid w:val="00150A9A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3181"/>
    <w:rsid w:val="00196734"/>
    <w:rsid w:val="001977EC"/>
    <w:rsid w:val="001A0443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4D6A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6F6E"/>
    <w:rsid w:val="0026484D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467B"/>
    <w:rsid w:val="002A5C32"/>
    <w:rsid w:val="002A7218"/>
    <w:rsid w:val="002B5624"/>
    <w:rsid w:val="002B6376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2F75AB"/>
    <w:rsid w:val="00316FF8"/>
    <w:rsid w:val="00323DDC"/>
    <w:rsid w:val="003268C0"/>
    <w:rsid w:val="00331EEB"/>
    <w:rsid w:val="0033250C"/>
    <w:rsid w:val="003356CB"/>
    <w:rsid w:val="00335BF6"/>
    <w:rsid w:val="00337BA6"/>
    <w:rsid w:val="003420F1"/>
    <w:rsid w:val="003511C0"/>
    <w:rsid w:val="00354E55"/>
    <w:rsid w:val="0035675E"/>
    <w:rsid w:val="00362A1B"/>
    <w:rsid w:val="00380D58"/>
    <w:rsid w:val="003837A2"/>
    <w:rsid w:val="003840D7"/>
    <w:rsid w:val="00386CC9"/>
    <w:rsid w:val="003878D3"/>
    <w:rsid w:val="0039071D"/>
    <w:rsid w:val="00390FF2"/>
    <w:rsid w:val="00392A60"/>
    <w:rsid w:val="003940E2"/>
    <w:rsid w:val="00396874"/>
    <w:rsid w:val="00397530"/>
    <w:rsid w:val="003A1EFE"/>
    <w:rsid w:val="003A3ADA"/>
    <w:rsid w:val="003A575D"/>
    <w:rsid w:val="003C6738"/>
    <w:rsid w:val="003C74D2"/>
    <w:rsid w:val="003D082A"/>
    <w:rsid w:val="003D4A1C"/>
    <w:rsid w:val="003E4F7B"/>
    <w:rsid w:val="003F0E3E"/>
    <w:rsid w:val="003F2515"/>
    <w:rsid w:val="003F4EDD"/>
    <w:rsid w:val="0040132E"/>
    <w:rsid w:val="00403E63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54F32"/>
    <w:rsid w:val="00455C6B"/>
    <w:rsid w:val="00460EE9"/>
    <w:rsid w:val="004626CC"/>
    <w:rsid w:val="0046753A"/>
    <w:rsid w:val="00474CD8"/>
    <w:rsid w:val="0047588C"/>
    <w:rsid w:val="004827E9"/>
    <w:rsid w:val="00482ADC"/>
    <w:rsid w:val="00485147"/>
    <w:rsid w:val="00490191"/>
    <w:rsid w:val="004938E8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4ED2"/>
    <w:rsid w:val="005066AC"/>
    <w:rsid w:val="00512E4C"/>
    <w:rsid w:val="0051532B"/>
    <w:rsid w:val="00517695"/>
    <w:rsid w:val="0052016C"/>
    <w:rsid w:val="00520A05"/>
    <w:rsid w:val="00522592"/>
    <w:rsid w:val="00523E8B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2EE0"/>
    <w:rsid w:val="005A335C"/>
    <w:rsid w:val="005A7647"/>
    <w:rsid w:val="005A7F52"/>
    <w:rsid w:val="005B13D7"/>
    <w:rsid w:val="005B2A8A"/>
    <w:rsid w:val="005B34F4"/>
    <w:rsid w:val="005C204F"/>
    <w:rsid w:val="005C6A16"/>
    <w:rsid w:val="005D0301"/>
    <w:rsid w:val="005D4A37"/>
    <w:rsid w:val="005F5545"/>
    <w:rsid w:val="005F60F9"/>
    <w:rsid w:val="005F74FA"/>
    <w:rsid w:val="0060451E"/>
    <w:rsid w:val="00606B1B"/>
    <w:rsid w:val="00610B33"/>
    <w:rsid w:val="006146A8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56ED6"/>
    <w:rsid w:val="006643BE"/>
    <w:rsid w:val="006661D4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742F"/>
    <w:rsid w:val="006C0B03"/>
    <w:rsid w:val="006C7649"/>
    <w:rsid w:val="006E30BA"/>
    <w:rsid w:val="006E3978"/>
    <w:rsid w:val="006F0670"/>
    <w:rsid w:val="006F0AE0"/>
    <w:rsid w:val="006F0D4A"/>
    <w:rsid w:val="006F4FE9"/>
    <w:rsid w:val="006F708C"/>
    <w:rsid w:val="00702847"/>
    <w:rsid w:val="007073DF"/>
    <w:rsid w:val="00711F8D"/>
    <w:rsid w:val="007126D7"/>
    <w:rsid w:val="00716D83"/>
    <w:rsid w:val="007211AF"/>
    <w:rsid w:val="00722731"/>
    <w:rsid w:val="00722E3F"/>
    <w:rsid w:val="007268DB"/>
    <w:rsid w:val="00727CCC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860AA"/>
    <w:rsid w:val="00787E1D"/>
    <w:rsid w:val="007967E7"/>
    <w:rsid w:val="007A0224"/>
    <w:rsid w:val="007A1B32"/>
    <w:rsid w:val="007B1EF9"/>
    <w:rsid w:val="007B2DD8"/>
    <w:rsid w:val="007C3115"/>
    <w:rsid w:val="007C3478"/>
    <w:rsid w:val="007D3EC4"/>
    <w:rsid w:val="007D58C9"/>
    <w:rsid w:val="007E2303"/>
    <w:rsid w:val="007E26CF"/>
    <w:rsid w:val="007E2B93"/>
    <w:rsid w:val="007E5550"/>
    <w:rsid w:val="007E67D0"/>
    <w:rsid w:val="007F2CA0"/>
    <w:rsid w:val="00803EFF"/>
    <w:rsid w:val="00804647"/>
    <w:rsid w:val="00806A88"/>
    <w:rsid w:val="008122C7"/>
    <w:rsid w:val="0081239F"/>
    <w:rsid w:val="00814265"/>
    <w:rsid w:val="00814602"/>
    <w:rsid w:val="00822264"/>
    <w:rsid w:val="008320A7"/>
    <w:rsid w:val="008367D3"/>
    <w:rsid w:val="0083700C"/>
    <w:rsid w:val="0085066F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46B7"/>
    <w:rsid w:val="008E53E7"/>
    <w:rsid w:val="008F159E"/>
    <w:rsid w:val="008F5BD5"/>
    <w:rsid w:val="00903596"/>
    <w:rsid w:val="00905A93"/>
    <w:rsid w:val="0091102E"/>
    <w:rsid w:val="00913946"/>
    <w:rsid w:val="00914C8A"/>
    <w:rsid w:val="00916B3D"/>
    <w:rsid w:val="00922E0A"/>
    <w:rsid w:val="009271C5"/>
    <w:rsid w:val="0093049A"/>
    <w:rsid w:val="00930A2F"/>
    <w:rsid w:val="00930CD3"/>
    <w:rsid w:val="00935005"/>
    <w:rsid w:val="009363AA"/>
    <w:rsid w:val="00936D1A"/>
    <w:rsid w:val="00937D24"/>
    <w:rsid w:val="009446E6"/>
    <w:rsid w:val="00953CB4"/>
    <w:rsid w:val="00955DEC"/>
    <w:rsid w:val="009565F9"/>
    <w:rsid w:val="009579ED"/>
    <w:rsid w:val="00961282"/>
    <w:rsid w:val="009730BE"/>
    <w:rsid w:val="0098228B"/>
    <w:rsid w:val="00994100"/>
    <w:rsid w:val="009957CE"/>
    <w:rsid w:val="009978F5"/>
    <w:rsid w:val="009A5E60"/>
    <w:rsid w:val="009A7DDE"/>
    <w:rsid w:val="009B283D"/>
    <w:rsid w:val="009B308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31429"/>
    <w:rsid w:val="00A33279"/>
    <w:rsid w:val="00A40807"/>
    <w:rsid w:val="00A41631"/>
    <w:rsid w:val="00A438EF"/>
    <w:rsid w:val="00A43D92"/>
    <w:rsid w:val="00A4650E"/>
    <w:rsid w:val="00A46D9E"/>
    <w:rsid w:val="00A5335A"/>
    <w:rsid w:val="00A53704"/>
    <w:rsid w:val="00A56C40"/>
    <w:rsid w:val="00A57CD0"/>
    <w:rsid w:val="00A67F94"/>
    <w:rsid w:val="00A70DCF"/>
    <w:rsid w:val="00A7348B"/>
    <w:rsid w:val="00A7411C"/>
    <w:rsid w:val="00A75A48"/>
    <w:rsid w:val="00A76E92"/>
    <w:rsid w:val="00A83FB1"/>
    <w:rsid w:val="00AA205D"/>
    <w:rsid w:val="00AA2ACC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6931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27C3E"/>
    <w:rsid w:val="00B30654"/>
    <w:rsid w:val="00B30E7A"/>
    <w:rsid w:val="00B355C4"/>
    <w:rsid w:val="00B36525"/>
    <w:rsid w:val="00B4189F"/>
    <w:rsid w:val="00B41A1F"/>
    <w:rsid w:val="00B43F1D"/>
    <w:rsid w:val="00B618C4"/>
    <w:rsid w:val="00B6244C"/>
    <w:rsid w:val="00B636D4"/>
    <w:rsid w:val="00B6674E"/>
    <w:rsid w:val="00B724BD"/>
    <w:rsid w:val="00B7622A"/>
    <w:rsid w:val="00B764A5"/>
    <w:rsid w:val="00B836F1"/>
    <w:rsid w:val="00B84220"/>
    <w:rsid w:val="00B87A19"/>
    <w:rsid w:val="00B92598"/>
    <w:rsid w:val="00B9266E"/>
    <w:rsid w:val="00B94577"/>
    <w:rsid w:val="00B9541F"/>
    <w:rsid w:val="00B96E42"/>
    <w:rsid w:val="00BA113F"/>
    <w:rsid w:val="00BA4DA0"/>
    <w:rsid w:val="00BA6916"/>
    <w:rsid w:val="00BB53D4"/>
    <w:rsid w:val="00BC1EC6"/>
    <w:rsid w:val="00BC24B1"/>
    <w:rsid w:val="00BC2A49"/>
    <w:rsid w:val="00BC3C8A"/>
    <w:rsid w:val="00BC4A95"/>
    <w:rsid w:val="00BC5DA1"/>
    <w:rsid w:val="00BC7D7E"/>
    <w:rsid w:val="00BD244A"/>
    <w:rsid w:val="00BD2634"/>
    <w:rsid w:val="00BD66A2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6868"/>
    <w:rsid w:val="00C102AF"/>
    <w:rsid w:val="00C12202"/>
    <w:rsid w:val="00C17007"/>
    <w:rsid w:val="00C23202"/>
    <w:rsid w:val="00C24BC6"/>
    <w:rsid w:val="00C25630"/>
    <w:rsid w:val="00C263CC"/>
    <w:rsid w:val="00C27C24"/>
    <w:rsid w:val="00C362F6"/>
    <w:rsid w:val="00C37983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70955"/>
    <w:rsid w:val="00C73861"/>
    <w:rsid w:val="00C76179"/>
    <w:rsid w:val="00C86719"/>
    <w:rsid w:val="00C86DD4"/>
    <w:rsid w:val="00C953F5"/>
    <w:rsid w:val="00C95D05"/>
    <w:rsid w:val="00CA20A4"/>
    <w:rsid w:val="00CA4DC7"/>
    <w:rsid w:val="00CA7285"/>
    <w:rsid w:val="00CA7454"/>
    <w:rsid w:val="00CB7BEC"/>
    <w:rsid w:val="00CC03D8"/>
    <w:rsid w:val="00CC28C2"/>
    <w:rsid w:val="00CC2C6B"/>
    <w:rsid w:val="00CC31A5"/>
    <w:rsid w:val="00CD162B"/>
    <w:rsid w:val="00CD4425"/>
    <w:rsid w:val="00CE128A"/>
    <w:rsid w:val="00CE310F"/>
    <w:rsid w:val="00CE4DCD"/>
    <w:rsid w:val="00CE675B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25517"/>
    <w:rsid w:val="00D33972"/>
    <w:rsid w:val="00D34113"/>
    <w:rsid w:val="00D34BBC"/>
    <w:rsid w:val="00D40D64"/>
    <w:rsid w:val="00D4107B"/>
    <w:rsid w:val="00D41FF1"/>
    <w:rsid w:val="00D4398C"/>
    <w:rsid w:val="00D43D8B"/>
    <w:rsid w:val="00D468B4"/>
    <w:rsid w:val="00D46B5E"/>
    <w:rsid w:val="00D514D1"/>
    <w:rsid w:val="00D51E4A"/>
    <w:rsid w:val="00D52297"/>
    <w:rsid w:val="00D54E37"/>
    <w:rsid w:val="00D5524E"/>
    <w:rsid w:val="00D55C74"/>
    <w:rsid w:val="00D603BA"/>
    <w:rsid w:val="00D60960"/>
    <w:rsid w:val="00D61B6C"/>
    <w:rsid w:val="00D65766"/>
    <w:rsid w:val="00D71D19"/>
    <w:rsid w:val="00D74ED5"/>
    <w:rsid w:val="00D767B7"/>
    <w:rsid w:val="00D80320"/>
    <w:rsid w:val="00D81539"/>
    <w:rsid w:val="00D87D89"/>
    <w:rsid w:val="00D97035"/>
    <w:rsid w:val="00DA08AA"/>
    <w:rsid w:val="00DA6203"/>
    <w:rsid w:val="00DA6D3F"/>
    <w:rsid w:val="00DA70F1"/>
    <w:rsid w:val="00DB190E"/>
    <w:rsid w:val="00DB2EA4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661"/>
    <w:rsid w:val="00DE596C"/>
    <w:rsid w:val="00DE6953"/>
    <w:rsid w:val="00DE7196"/>
    <w:rsid w:val="00DF02FF"/>
    <w:rsid w:val="00DF1D6E"/>
    <w:rsid w:val="00DF5787"/>
    <w:rsid w:val="00DF5AEC"/>
    <w:rsid w:val="00E00646"/>
    <w:rsid w:val="00E04F19"/>
    <w:rsid w:val="00E122AB"/>
    <w:rsid w:val="00E12FDD"/>
    <w:rsid w:val="00E17A2B"/>
    <w:rsid w:val="00E20B31"/>
    <w:rsid w:val="00E27986"/>
    <w:rsid w:val="00E306E8"/>
    <w:rsid w:val="00E313A2"/>
    <w:rsid w:val="00E33586"/>
    <w:rsid w:val="00E338A0"/>
    <w:rsid w:val="00E349A6"/>
    <w:rsid w:val="00E508C0"/>
    <w:rsid w:val="00E53F96"/>
    <w:rsid w:val="00E54379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964CC"/>
    <w:rsid w:val="00EA304D"/>
    <w:rsid w:val="00EB0CA4"/>
    <w:rsid w:val="00EB3320"/>
    <w:rsid w:val="00EC0009"/>
    <w:rsid w:val="00EC28FB"/>
    <w:rsid w:val="00EC2A38"/>
    <w:rsid w:val="00EC7AE6"/>
    <w:rsid w:val="00EC7FED"/>
    <w:rsid w:val="00ED2317"/>
    <w:rsid w:val="00ED6F93"/>
    <w:rsid w:val="00ED7FA7"/>
    <w:rsid w:val="00F10B13"/>
    <w:rsid w:val="00F14DC8"/>
    <w:rsid w:val="00F15380"/>
    <w:rsid w:val="00F34E05"/>
    <w:rsid w:val="00F41B06"/>
    <w:rsid w:val="00F45931"/>
    <w:rsid w:val="00F45E59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493D"/>
    <w:rsid w:val="00FA5459"/>
    <w:rsid w:val="00FA716C"/>
    <w:rsid w:val="00FB4CBC"/>
    <w:rsid w:val="00FB5F2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025"/>
    <w:rsid w:val="00FE0C51"/>
    <w:rsid w:val="00FE17A1"/>
    <w:rsid w:val="00FE3E3F"/>
    <w:rsid w:val="00FF4498"/>
    <w:rsid w:val="00FF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uiPriority w:val="99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Emphasis"/>
    <w:basedOn w:val="a0"/>
    <w:uiPriority w:val="20"/>
    <w:qFormat/>
    <w:locked/>
    <w:rsid w:val="00C23202"/>
    <w:rPr>
      <w:i/>
      <w:iCs/>
    </w:rPr>
  </w:style>
  <w:style w:type="paragraph" w:styleId="af0">
    <w:name w:val="Title"/>
    <w:basedOn w:val="a"/>
    <w:link w:val="af1"/>
    <w:uiPriority w:val="99"/>
    <w:qFormat/>
    <w:locked/>
    <w:rsid w:val="00C23202"/>
    <w:pPr>
      <w:spacing w:after="0" w:line="240" w:lineRule="auto"/>
      <w:ind w:left="3828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C23202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15</cp:revision>
  <cp:lastPrinted>2020-03-12T06:50:00Z</cp:lastPrinted>
  <dcterms:created xsi:type="dcterms:W3CDTF">2020-03-11T15:14:00Z</dcterms:created>
  <dcterms:modified xsi:type="dcterms:W3CDTF">2020-03-16T07:52:00Z</dcterms:modified>
</cp:coreProperties>
</file>